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30D162" w14:textId="77777777" w:rsidR="009555C5" w:rsidRPr="009555C5" w:rsidRDefault="009555C5" w:rsidP="009555C5">
      <w:pPr>
        <w:spacing w:after="120"/>
        <w:jc w:val="center"/>
        <w:rPr>
          <w:rFonts w:cstheme="minorHAnsi"/>
          <w:b/>
          <w:bCs/>
          <w:noProof/>
          <w:sz w:val="24"/>
          <w:szCs w:val="24"/>
          <w:lang w:eastAsia="en-GB"/>
        </w:rPr>
      </w:pPr>
      <w:r w:rsidRPr="009555C5">
        <w:rPr>
          <w:rFonts w:cstheme="minorHAnsi"/>
          <w:b/>
          <w:bCs/>
          <w:noProof/>
          <w:sz w:val="24"/>
          <w:szCs w:val="24"/>
          <w:lang w:eastAsia="en-GB"/>
        </w:rPr>
        <w:t>Career Mark Case Study: Achieving the Full Quality in Careers Standard</w:t>
      </w:r>
    </w:p>
    <w:p w14:paraId="49DD8A4C" w14:textId="77777777" w:rsidR="009555C5" w:rsidRPr="009555C5" w:rsidRDefault="009555C5" w:rsidP="009555C5">
      <w:pPr>
        <w:spacing w:after="120"/>
        <w:jc w:val="center"/>
        <w:rPr>
          <w:rFonts w:cstheme="minorHAnsi"/>
          <w:b/>
          <w:bCs/>
          <w:noProof/>
          <w:sz w:val="24"/>
          <w:szCs w:val="24"/>
          <w:lang w:eastAsia="en-GB"/>
        </w:rPr>
      </w:pPr>
      <w:r w:rsidRPr="009555C5">
        <w:rPr>
          <w:rFonts w:cstheme="minorHAnsi"/>
          <w:b/>
          <w:bCs/>
          <w:noProof/>
          <w:sz w:val="24"/>
          <w:szCs w:val="24"/>
          <w:lang w:eastAsia="en-GB"/>
        </w:rPr>
        <w:t>Royal Wootton Bassett Academy, Wiltshire</w:t>
      </w:r>
    </w:p>
    <w:p w14:paraId="530F5C73" w14:textId="77777777" w:rsidR="009555C5" w:rsidRPr="009555C5" w:rsidRDefault="009555C5" w:rsidP="009555C5">
      <w:pPr>
        <w:spacing w:after="120"/>
        <w:jc w:val="center"/>
        <w:rPr>
          <w:rFonts w:cstheme="minorHAnsi"/>
          <w:b/>
          <w:bCs/>
          <w:noProof/>
          <w:sz w:val="24"/>
          <w:szCs w:val="24"/>
          <w:lang w:eastAsia="en-GB"/>
        </w:rPr>
      </w:pPr>
      <w:r w:rsidRPr="009555C5">
        <w:rPr>
          <w:rFonts w:cstheme="minorHAnsi"/>
          <w:b/>
          <w:bCs/>
          <w:noProof/>
          <w:sz w:val="24"/>
          <w:szCs w:val="24"/>
          <w:lang w:eastAsia="en-GB"/>
        </w:rPr>
        <w:t>Gold Award – March 2019</w:t>
      </w:r>
    </w:p>
    <w:p w14:paraId="0F5A95A0" w14:textId="77777777" w:rsidR="009555C5" w:rsidRPr="009555C5" w:rsidRDefault="009555C5" w:rsidP="009555C5">
      <w:pPr>
        <w:spacing w:after="120"/>
        <w:rPr>
          <w:rFonts w:cstheme="minorHAnsi"/>
          <w:noProof/>
          <w:sz w:val="24"/>
          <w:szCs w:val="24"/>
          <w:lang w:eastAsia="en-GB"/>
        </w:rPr>
      </w:pPr>
      <w:r w:rsidRPr="009555C5">
        <w:rPr>
          <w:rFonts w:cstheme="minorHAnsi"/>
          <w:noProof/>
          <w:sz w:val="24"/>
          <w:szCs w:val="24"/>
          <w:lang w:eastAsia="en-GB"/>
        </w:rPr>
        <w:t>In 2013 The Royal Wootton Bassett Academy, a 11-19 Secondary School in Wiltshire, decided to embark upon their first Career Mark Award for the School, For their new Careers Adviser, Kerry Hall, who had recently taken over the role (at that point, as Careers Adviser only, but a year later as Careers Co-ordinator/and then Careers Leader) crucial in this decision was the full support from the Head Teacher, George Croxford, and the whole leadership team, who understood the value of the assessment process and its benefits in evidencing Ofsted requirements and in highlighting areas of improvement across the Academy.</w:t>
      </w:r>
    </w:p>
    <w:p w14:paraId="212AD98B" w14:textId="77777777" w:rsidR="009555C5" w:rsidRPr="009555C5" w:rsidRDefault="009555C5" w:rsidP="009555C5">
      <w:pPr>
        <w:spacing w:after="120"/>
        <w:rPr>
          <w:rFonts w:cstheme="minorHAnsi"/>
          <w:noProof/>
          <w:sz w:val="24"/>
          <w:szCs w:val="24"/>
          <w:lang w:eastAsia="en-GB"/>
        </w:rPr>
      </w:pPr>
      <w:r w:rsidRPr="009555C5">
        <w:rPr>
          <w:rFonts w:cstheme="minorHAnsi"/>
          <w:noProof/>
          <w:sz w:val="24"/>
          <w:szCs w:val="24"/>
          <w:lang w:eastAsia="en-GB"/>
        </w:rPr>
        <w:t xml:space="preserve">As we were to discover, the Award was a precise and exacting tool, designed to measure four areas at that time: </w:t>
      </w:r>
    </w:p>
    <w:p w14:paraId="03E868BD" w14:textId="77777777" w:rsidR="009555C5" w:rsidRPr="009555C5" w:rsidRDefault="009555C5" w:rsidP="009555C5">
      <w:pPr>
        <w:spacing w:after="120"/>
        <w:rPr>
          <w:rFonts w:cstheme="minorHAnsi"/>
          <w:noProof/>
          <w:sz w:val="24"/>
          <w:szCs w:val="24"/>
          <w:lang w:eastAsia="en-GB"/>
        </w:rPr>
      </w:pPr>
      <w:r w:rsidRPr="004D5CAF">
        <w:rPr>
          <w:rFonts w:cstheme="minorHAnsi"/>
          <w:b/>
          <w:bCs/>
          <w:noProof/>
          <w:sz w:val="24"/>
          <w:szCs w:val="24"/>
          <w:lang w:eastAsia="en-GB"/>
        </w:rPr>
        <w:t>Management:</w:t>
      </w:r>
      <w:r w:rsidRPr="009555C5">
        <w:rPr>
          <w:rFonts w:cstheme="minorHAnsi"/>
          <w:noProof/>
          <w:sz w:val="24"/>
          <w:szCs w:val="24"/>
          <w:lang w:eastAsia="en-GB"/>
        </w:rPr>
        <w:t xml:space="preserve"> How does our organisation lead, manage, organise and evaluate careers education, information, advice and guidance;</w:t>
      </w:r>
    </w:p>
    <w:p w14:paraId="0606D9D4" w14:textId="77777777" w:rsidR="009555C5" w:rsidRPr="009555C5" w:rsidRDefault="009555C5" w:rsidP="009555C5">
      <w:pPr>
        <w:spacing w:after="120"/>
        <w:rPr>
          <w:rFonts w:cstheme="minorHAnsi"/>
          <w:noProof/>
          <w:sz w:val="24"/>
          <w:szCs w:val="24"/>
          <w:lang w:eastAsia="en-GB"/>
        </w:rPr>
      </w:pPr>
      <w:r w:rsidRPr="004D5CAF">
        <w:rPr>
          <w:rFonts w:cstheme="minorHAnsi"/>
          <w:b/>
          <w:bCs/>
          <w:noProof/>
          <w:sz w:val="24"/>
          <w:szCs w:val="24"/>
          <w:lang w:eastAsia="en-GB"/>
        </w:rPr>
        <w:t>Curriculum:</w:t>
      </w:r>
      <w:r w:rsidRPr="009555C5">
        <w:rPr>
          <w:rFonts w:cstheme="minorHAnsi"/>
          <w:noProof/>
          <w:sz w:val="24"/>
          <w:szCs w:val="24"/>
          <w:lang w:eastAsia="en-GB"/>
        </w:rPr>
        <w:t xml:space="preserve"> How do we deliver career education through the Curriculum;</w:t>
      </w:r>
    </w:p>
    <w:p w14:paraId="4FDF5236" w14:textId="77777777" w:rsidR="009555C5" w:rsidRPr="009555C5" w:rsidRDefault="009555C5" w:rsidP="009555C5">
      <w:pPr>
        <w:spacing w:after="120"/>
        <w:rPr>
          <w:rFonts w:cstheme="minorHAnsi"/>
          <w:noProof/>
          <w:sz w:val="24"/>
          <w:szCs w:val="24"/>
          <w:lang w:eastAsia="en-GB"/>
        </w:rPr>
      </w:pPr>
      <w:r w:rsidRPr="004D5CAF">
        <w:rPr>
          <w:rFonts w:cstheme="minorHAnsi"/>
          <w:b/>
          <w:bCs/>
          <w:noProof/>
          <w:sz w:val="24"/>
          <w:szCs w:val="24"/>
          <w:lang w:eastAsia="en-GB"/>
        </w:rPr>
        <w:t>Information:</w:t>
      </w:r>
      <w:r w:rsidRPr="009555C5">
        <w:rPr>
          <w:rFonts w:cstheme="minorHAnsi"/>
          <w:noProof/>
          <w:sz w:val="24"/>
          <w:szCs w:val="24"/>
          <w:lang w:eastAsia="en-GB"/>
        </w:rPr>
        <w:t xml:space="preserve"> How does our organisation provide career-related information to learners, parents, staff and partners (and assess its quality and accessibility) ensuring learners know how to use it;</w:t>
      </w:r>
    </w:p>
    <w:p w14:paraId="4561C44C" w14:textId="102305EA" w:rsidR="009555C5" w:rsidRDefault="009555C5" w:rsidP="009555C5">
      <w:pPr>
        <w:spacing w:after="120"/>
        <w:rPr>
          <w:rFonts w:cstheme="minorHAnsi"/>
          <w:noProof/>
          <w:sz w:val="24"/>
          <w:szCs w:val="24"/>
          <w:lang w:eastAsia="en-GB"/>
        </w:rPr>
      </w:pPr>
      <w:r w:rsidRPr="004D5CAF">
        <w:rPr>
          <w:rFonts w:cstheme="minorHAnsi"/>
          <w:b/>
          <w:bCs/>
          <w:noProof/>
          <w:sz w:val="24"/>
          <w:szCs w:val="24"/>
          <w:lang w:eastAsia="en-GB"/>
        </w:rPr>
        <w:t>Guidance:</w:t>
      </w:r>
      <w:r w:rsidRPr="009555C5">
        <w:rPr>
          <w:rFonts w:cstheme="minorHAnsi"/>
          <w:noProof/>
          <w:sz w:val="24"/>
          <w:szCs w:val="24"/>
          <w:lang w:eastAsia="en-GB"/>
        </w:rPr>
        <w:t xml:space="preserve"> How does our Academy deliver career-related advice, guidance and support for learners – at that time, this was directed to be ‘independent and impartial’.</w:t>
      </w:r>
    </w:p>
    <w:p w14:paraId="7431C0F4" w14:textId="77777777" w:rsidR="001F7CC2" w:rsidRDefault="000622CA" w:rsidP="009555C5">
      <w:pPr>
        <w:spacing w:after="120"/>
        <w:rPr>
          <w:rFonts w:cstheme="minorHAnsi"/>
          <w:noProof/>
          <w:sz w:val="24"/>
          <w:szCs w:val="24"/>
          <w:lang w:eastAsia="en-GB"/>
        </w:rPr>
      </w:pPr>
      <w:r>
        <w:rPr>
          <w:noProof/>
        </w:rPr>
        <w:drawing>
          <wp:anchor distT="0" distB="0" distL="114300" distR="114300" simplePos="0" relativeHeight="251658240" behindDoc="1" locked="0" layoutInCell="1" allowOverlap="1" wp14:anchorId="0FE5FF78" wp14:editId="24F87030">
            <wp:simplePos x="0" y="0"/>
            <wp:positionH relativeFrom="column">
              <wp:posOffset>0</wp:posOffset>
            </wp:positionH>
            <wp:positionV relativeFrom="page">
              <wp:posOffset>6029325</wp:posOffset>
            </wp:positionV>
            <wp:extent cx="3872865" cy="2905125"/>
            <wp:effectExtent l="0" t="0" r="0" b="9525"/>
            <wp:wrapTight wrapText="bothSides">
              <wp:wrapPolygon edited="0">
                <wp:start x="21600" y="21600"/>
                <wp:lineTo x="21600" y="71"/>
                <wp:lineTo x="138" y="71"/>
                <wp:lineTo x="138" y="21600"/>
                <wp:lineTo x="21600" y="2160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rot="10800000">
                      <a:off x="0" y="0"/>
                      <a:ext cx="3872865" cy="2905125"/>
                    </a:xfrm>
                    <a:prstGeom prst="rect">
                      <a:avLst/>
                    </a:prstGeom>
                    <a:noFill/>
                    <a:ln>
                      <a:noFill/>
                    </a:ln>
                  </pic:spPr>
                </pic:pic>
              </a:graphicData>
            </a:graphic>
          </wp:anchor>
        </w:drawing>
      </w:r>
    </w:p>
    <w:p w14:paraId="52B479EA" w14:textId="33C435CB" w:rsidR="009555C5" w:rsidRDefault="009555C5" w:rsidP="009555C5">
      <w:pPr>
        <w:spacing w:after="120"/>
        <w:rPr>
          <w:rFonts w:cstheme="minorHAnsi"/>
          <w:noProof/>
          <w:sz w:val="24"/>
          <w:szCs w:val="24"/>
          <w:lang w:eastAsia="en-GB"/>
        </w:rPr>
      </w:pPr>
      <w:r w:rsidRPr="009555C5">
        <w:rPr>
          <w:rFonts w:cstheme="minorHAnsi"/>
          <w:noProof/>
          <w:sz w:val="24"/>
          <w:szCs w:val="24"/>
          <w:lang w:eastAsia="en-GB"/>
        </w:rPr>
        <w:t xml:space="preserve">Seven years ago, the evidencing of the whole provision relied upon the completion of a grid with sections in each of the four areas and references to paper evidence in a file, supporting the claims made in each section. It was a time-consuming and required the collation of processes that are being used across the school, to be brought together and displayed in one place. It also enabled the Careers Guidance/Education team to identify the weaknesses and the omissions in the system. This process can be anxiety-inducing, before you undertake the assessment and realise that you are able to make omissions, that you can pass the assessment without providing a ‘flawless’ provision, as long as you can demonstrate that there is consideration and planning of the issues in hand.  The process is finalised only after a day’s visit from an Assessor, who interviews students from every year group and a few key staff to ascertain how the </w:t>
      </w:r>
      <w:r w:rsidRPr="009555C5">
        <w:rPr>
          <w:rFonts w:cstheme="minorHAnsi"/>
          <w:noProof/>
          <w:sz w:val="24"/>
          <w:szCs w:val="24"/>
          <w:lang w:eastAsia="en-GB"/>
        </w:rPr>
        <w:lastRenderedPageBreak/>
        <w:t xml:space="preserve">concept of ‘Careers Provision’ is viewed by those who are benefiting from it and to check they are gaining the learning identified for them to help them be more aware, of themselves and opportunities open to them and to planning their learning pathway towards their choice of career. </w:t>
      </w:r>
    </w:p>
    <w:p w14:paraId="09508EFB" w14:textId="77777777" w:rsidR="001F7CC2" w:rsidRPr="009555C5" w:rsidRDefault="001F7CC2" w:rsidP="009555C5">
      <w:pPr>
        <w:spacing w:after="120"/>
        <w:rPr>
          <w:rFonts w:cstheme="minorHAnsi"/>
          <w:noProof/>
          <w:sz w:val="24"/>
          <w:szCs w:val="24"/>
          <w:lang w:eastAsia="en-GB"/>
        </w:rPr>
      </w:pPr>
      <w:bookmarkStart w:id="0" w:name="_GoBack"/>
      <w:bookmarkEnd w:id="0"/>
    </w:p>
    <w:p w14:paraId="70B5EBD5" w14:textId="77777777" w:rsidR="009555C5" w:rsidRPr="009555C5" w:rsidRDefault="009555C5" w:rsidP="009555C5">
      <w:pPr>
        <w:spacing w:after="120"/>
        <w:rPr>
          <w:rFonts w:cstheme="minorHAnsi"/>
          <w:noProof/>
          <w:sz w:val="24"/>
          <w:szCs w:val="24"/>
          <w:lang w:eastAsia="en-GB"/>
        </w:rPr>
      </w:pPr>
      <w:r w:rsidRPr="009555C5">
        <w:rPr>
          <w:rFonts w:cstheme="minorHAnsi"/>
          <w:noProof/>
          <w:sz w:val="24"/>
          <w:szCs w:val="24"/>
          <w:lang w:eastAsia="en-GB"/>
        </w:rPr>
        <w:t xml:space="preserve">After the success of the first Award (‘Success’ being not only the award, but the whole learning process around the validation and identification of areas of improvement) we opted to go through the revalidation process two years later.  A process which still demanded an examination of each area and the developments over the previous two years, but the paperwork requirements were less. Politically in 2015/16, the careers landscape was starting to change. Holman had produced Good Careers Guidance, and the Post 16 Skills reports/reviews of technical education were scathing of careers provision in schools, but the Career Mark (by then a Licensed Awarding Body for the national Quality in Careers Standard) Revalidation Process remained familiar at this time, and we secured our second award.   </w:t>
      </w:r>
    </w:p>
    <w:p w14:paraId="0E2544D1" w14:textId="77777777" w:rsidR="009555C5" w:rsidRPr="009555C5" w:rsidRDefault="009555C5" w:rsidP="009555C5">
      <w:pPr>
        <w:spacing w:after="120"/>
        <w:rPr>
          <w:rFonts w:cstheme="minorHAnsi"/>
          <w:noProof/>
          <w:sz w:val="24"/>
          <w:szCs w:val="24"/>
          <w:lang w:eastAsia="en-GB"/>
        </w:rPr>
      </w:pPr>
      <w:r w:rsidRPr="009555C5">
        <w:rPr>
          <w:rFonts w:cstheme="minorHAnsi"/>
          <w:noProof/>
          <w:sz w:val="24"/>
          <w:szCs w:val="24"/>
          <w:lang w:eastAsia="en-GB"/>
        </w:rPr>
        <w:t xml:space="preserve">The  new Careers and Enterprise Company in 2015, adopted Holman’s 2015 report ‘Good Careers Guidance’, and placed more focus on schools working with businesses to improve employability skills in young people, our next validation, our third (and Gold, so we later found out!) was to incorporate the 8 Gatsby Benchmarks. </w:t>
      </w:r>
    </w:p>
    <w:p w14:paraId="46CDB1E9" w14:textId="77777777" w:rsidR="009555C5" w:rsidRPr="009555C5" w:rsidRDefault="009555C5" w:rsidP="009555C5">
      <w:pPr>
        <w:spacing w:after="120"/>
        <w:rPr>
          <w:rFonts w:cstheme="minorHAnsi"/>
          <w:noProof/>
          <w:sz w:val="24"/>
          <w:szCs w:val="24"/>
          <w:lang w:eastAsia="en-GB"/>
        </w:rPr>
      </w:pPr>
      <w:r w:rsidRPr="009555C5">
        <w:rPr>
          <w:rFonts w:cstheme="minorHAnsi"/>
          <w:noProof/>
          <w:sz w:val="24"/>
          <w:szCs w:val="24"/>
          <w:lang w:eastAsia="en-GB"/>
        </w:rPr>
        <w:t xml:space="preserve">The Gatsby Benchmarks merely introduced a simple structure by which schools and colleges could assess their own provision (accompanied by the Compass self-evaluation tool). Having already been through two assessments with the Quality in Careers Standard/Career Mark and having already a robust system of working with employers and higher education providers, we did not find the evidencing of the provision too different. </w:t>
      </w:r>
    </w:p>
    <w:p w14:paraId="5C2F0305" w14:textId="77777777" w:rsidR="009555C5" w:rsidRPr="009555C5" w:rsidRDefault="009555C5" w:rsidP="009555C5">
      <w:pPr>
        <w:spacing w:after="120"/>
        <w:rPr>
          <w:rFonts w:cstheme="minorHAnsi"/>
          <w:noProof/>
          <w:sz w:val="24"/>
          <w:szCs w:val="24"/>
          <w:lang w:eastAsia="en-GB"/>
        </w:rPr>
      </w:pPr>
      <w:r w:rsidRPr="009555C5">
        <w:rPr>
          <w:rFonts w:cstheme="minorHAnsi"/>
          <w:noProof/>
          <w:sz w:val="24"/>
          <w:szCs w:val="24"/>
          <w:lang w:eastAsia="en-GB"/>
        </w:rPr>
        <w:t xml:space="preserve">Career Mark had already asked us to examine the leadership and management strategies around our Careers Provision. Gatsby Benchmark 1 addresses a Stable Careers Programme, which is supported from the top downwards; Gatsby Benchmark 2, Learning from Career and Labour Market Information was something we had been asked to unpick when we looked at the third area of ‘Information’ in the original Career Mark Assessment; Gatsby Benchmarks 3 (addressing needs of each pupil), and 8 (Personal Guidance) was detailed in the Fourth area of Guidance, and Gatsby Benchmark 4 (Linking Learning to Careers) , 5 (Encounters with Employers), and 6 (Experiences of workplaces) was incorporated into the second area of Curriculum. </w:t>
      </w:r>
    </w:p>
    <w:p w14:paraId="1293CCAF" w14:textId="77777777" w:rsidR="009555C5" w:rsidRPr="009555C5" w:rsidRDefault="009555C5" w:rsidP="009555C5">
      <w:pPr>
        <w:spacing w:after="120"/>
        <w:rPr>
          <w:rFonts w:cstheme="minorHAnsi"/>
          <w:noProof/>
          <w:sz w:val="24"/>
          <w:szCs w:val="24"/>
          <w:lang w:eastAsia="en-GB"/>
        </w:rPr>
      </w:pPr>
      <w:r w:rsidRPr="009555C5">
        <w:rPr>
          <w:rFonts w:cstheme="minorHAnsi"/>
          <w:noProof/>
          <w:sz w:val="24"/>
          <w:szCs w:val="24"/>
          <w:lang w:eastAsia="en-GB"/>
        </w:rPr>
        <w:t xml:space="preserve">At this time, the profile of Careers Provision was higher than it had been for many years, with businesses demanding that students be given relevant advice and guidance at school, apprenticeships promoted from an early age and as many contacts with business/workplaces that could be squeezed into the curriculum. </w:t>
      </w:r>
    </w:p>
    <w:p w14:paraId="4B1FFE56" w14:textId="77777777" w:rsidR="009555C5" w:rsidRPr="009555C5" w:rsidRDefault="009555C5" w:rsidP="009555C5">
      <w:pPr>
        <w:spacing w:after="120"/>
        <w:rPr>
          <w:rFonts w:cstheme="minorHAnsi"/>
          <w:noProof/>
          <w:sz w:val="24"/>
          <w:szCs w:val="24"/>
          <w:lang w:eastAsia="en-GB"/>
        </w:rPr>
      </w:pPr>
      <w:r w:rsidRPr="009555C5">
        <w:rPr>
          <w:rFonts w:cstheme="minorHAnsi"/>
          <w:noProof/>
          <w:sz w:val="24"/>
          <w:szCs w:val="24"/>
          <w:lang w:eastAsia="en-GB"/>
        </w:rPr>
        <w:t xml:space="preserve">The completion of our last Quality in Careers Standard Revalidation with Career Mark needed to reflect our commitment to working with employers, our commitment to bringing businesses into the school, where possible, to work alongside our teachers at relevant points in the subject journey. It had to show that we were providing quality careers guidance from a fully qualified Level 6 Careers Adviser (the Academy had paid for my additional training from level 4 to level 6 qualification after our first Career mark Award in </w:t>
      </w:r>
      <w:r w:rsidRPr="009555C5">
        <w:rPr>
          <w:rFonts w:cstheme="minorHAnsi"/>
          <w:noProof/>
          <w:sz w:val="24"/>
          <w:szCs w:val="24"/>
          <w:lang w:eastAsia="en-GB"/>
        </w:rPr>
        <w:lastRenderedPageBreak/>
        <w:t xml:space="preserve">2014), and it needed to evidence that every student from year 10 upwards, had direct experience of a workplace. </w:t>
      </w:r>
    </w:p>
    <w:p w14:paraId="256CFBE4" w14:textId="77777777" w:rsidR="009555C5" w:rsidRPr="009555C5" w:rsidRDefault="009555C5" w:rsidP="009555C5">
      <w:pPr>
        <w:spacing w:after="120"/>
        <w:rPr>
          <w:rFonts w:cstheme="minorHAnsi"/>
          <w:noProof/>
          <w:sz w:val="24"/>
          <w:szCs w:val="24"/>
          <w:lang w:eastAsia="en-GB"/>
        </w:rPr>
      </w:pPr>
      <w:r w:rsidRPr="009555C5">
        <w:rPr>
          <w:rFonts w:cstheme="minorHAnsi"/>
          <w:noProof/>
          <w:sz w:val="24"/>
          <w:szCs w:val="24"/>
          <w:lang w:eastAsia="en-GB"/>
        </w:rPr>
        <w:t xml:space="preserve">We did all this, after all we were already doing it to meet the Career Mark Framework, but now there were also interpretations of the Gatsby Benchmarks that we were being asked about – Has EVERY student in the school been given a career guidance interview? (The CEC are now reviewing this); have we tracked EVERY student leaving the school for the last THREE years (the CEC are now reviewing this); Were we actually embedding careers provision into the curriculum? The Assessor allayed my fears – we were not expected to meet every requirement of the Compass Tool to Maintain our award we were expected to meet most, but also to be seen to be reviewing our provision and planning how we could incorporate more of the requirements into our strategy. </w:t>
      </w:r>
    </w:p>
    <w:p w14:paraId="1AB55179" w14:textId="2A0F880E" w:rsidR="00432645" w:rsidRDefault="009555C5" w:rsidP="009555C5">
      <w:pPr>
        <w:spacing w:after="120"/>
        <w:rPr>
          <w:rFonts w:cstheme="minorHAnsi"/>
          <w:noProof/>
          <w:sz w:val="24"/>
          <w:szCs w:val="24"/>
          <w:lang w:eastAsia="en-GB"/>
        </w:rPr>
      </w:pPr>
      <w:r w:rsidRPr="009555C5">
        <w:rPr>
          <w:rFonts w:cstheme="minorHAnsi"/>
          <w:noProof/>
          <w:sz w:val="24"/>
          <w:szCs w:val="24"/>
          <w:lang w:eastAsia="en-GB"/>
        </w:rPr>
        <w:t>We can use our national Quality in Careers Standard award provided by Career Mark Career Mark as an external evidence tool if we chose to, but over and above that it has provided a framework for many years (maybe with not quite the emphasis on employer engagement that there is at this time) and which now meets the Gatsby Benchmarks. More importantly, it is an objective system of assessment (as opposed to a self-evaluation tool) that is not designed to ‘catch you out’ but to support, guide and advise any institution as to how to improve their students’ chances in the working world and helping them make successful transitions into learning and work as a result of making well informed realistic decisions.</w:t>
      </w:r>
    </w:p>
    <w:p w14:paraId="30E33E4E" w14:textId="18D9F92D" w:rsidR="00707E68" w:rsidRPr="00707E68" w:rsidRDefault="00707E68" w:rsidP="00707E68">
      <w:pPr>
        <w:rPr>
          <w:rFonts w:cstheme="minorHAnsi"/>
          <w:sz w:val="24"/>
          <w:szCs w:val="24"/>
          <w:lang w:eastAsia="en-GB"/>
        </w:rPr>
      </w:pPr>
    </w:p>
    <w:p w14:paraId="7D38E7B8" w14:textId="0B1E7CC7" w:rsidR="00707E68" w:rsidRPr="00707E68" w:rsidRDefault="00707E68" w:rsidP="00707E68">
      <w:pPr>
        <w:rPr>
          <w:rFonts w:cstheme="minorHAnsi"/>
          <w:sz w:val="24"/>
          <w:szCs w:val="24"/>
          <w:lang w:eastAsia="en-GB"/>
        </w:rPr>
      </w:pPr>
    </w:p>
    <w:p w14:paraId="2BA58662" w14:textId="082117E6" w:rsidR="00707E68" w:rsidRPr="00707E68" w:rsidRDefault="00707E68" w:rsidP="00707E68">
      <w:pPr>
        <w:rPr>
          <w:rFonts w:cstheme="minorHAnsi"/>
          <w:sz w:val="24"/>
          <w:szCs w:val="24"/>
          <w:lang w:eastAsia="en-GB"/>
        </w:rPr>
      </w:pPr>
    </w:p>
    <w:p w14:paraId="789E922A" w14:textId="765A5DA0" w:rsidR="00707E68" w:rsidRPr="00707E68" w:rsidRDefault="00707E68" w:rsidP="00707E68">
      <w:pPr>
        <w:rPr>
          <w:rFonts w:cstheme="minorHAnsi"/>
          <w:sz w:val="24"/>
          <w:szCs w:val="24"/>
          <w:lang w:eastAsia="en-GB"/>
        </w:rPr>
      </w:pPr>
    </w:p>
    <w:p w14:paraId="03C6B372" w14:textId="78DEDAAD" w:rsidR="00707E68" w:rsidRPr="00707E68" w:rsidRDefault="00707E68" w:rsidP="00707E68">
      <w:pPr>
        <w:rPr>
          <w:rFonts w:cstheme="minorHAnsi"/>
          <w:sz w:val="24"/>
          <w:szCs w:val="24"/>
          <w:lang w:eastAsia="en-GB"/>
        </w:rPr>
      </w:pPr>
    </w:p>
    <w:p w14:paraId="18781CE1" w14:textId="52F8AB4B" w:rsidR="00707E68" w:rsidRPr="00707E68" w:rsidRDefault="00707E68" w:rsidP="00707E68">
      <w:pPr>
        <w:rPr>
          <w:rFonts w:cstheme="minorHAnsi"/>
          <w:sz w:val="24"/>
          <w:szCs w:val="24"/>
          <w:lang w:eastAsia="en-GB"/>
        </w:rPr>
      </w:pPr>
    </w:p>
    <w:p w14:paraId="28D047FF" w14:textId="5966BCC1" w:rsidR="00707E68" w:rsidRPr="00707E68" w:rsidRDefault="00707E68" w:rsidP="00707E68">
      <w:pPr>
        <w:rPr>
          <w:rFonts w:cstheme="minorHAnsi"/>
          <w:sz w:val="24"/>
          <w:szCs w:val="24"/>
          <w:lang w:eastAsia="en-GB"/>
        </w:rPr>
      </w:pPr>
    </w:p>
    <w:p w14:paraId="55641E04" w14:textId="7CE05A7D" w:rsidR="00707E68" w:rsidRDefault="00707E68" w:rsidP="00707E68">
      <w:pPr>
        <w:rPr>
          <w:rFonts w:cstheme="minorHAnsi"/>
          <w:noProof/>
          <w:sz w:val="24"/>
          <w:szCs w:val="24"/>
          <w:lang w:eastAsia="en-GB"/>
        </w:rPr>
      </w:pPr>
    </w:p>
    <w:p w14:paraId="45FC61D9" w14:textId="77777777" w:rsidR="00707E68" w:rsidRPr="00707E68" w:rsidRDefault="00707E68" w:rsidP="00707E68">
      <w:pPr>
        <w:rPr>
          <w:rFonts w:cstheme="minorHAnsi"/>
          <w:sz w:val="24"/>
          <w:szCs w:val="24"/>
          <w:lang w:eastAsia="en-GB"/>
        </w:rPr>
      </w:pPr>
    </w:p>
    <w:sectPr w:rsidR="00707E68" w:rsidRPr="00707E68" w:rsidSect="009555C5">
      <w:headerReference w:type="default" r:id="rId11"/>
      <w:footerReference w:type="default" r:id="rId12"/>
      <w:pgSz w:w="11906" w:h="16838"/>
      <w:pgMar w:top="720" w:right="720" w:bottom="720" w:left="720" w:header="39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A180CE" w14:textId="77777777" w:rsidR="00D07387" w:rsidRDefault="00D07387" w:rsidP="002D07F8">
      <w:pPr>
        <w:spacing w:after="0" w:line="240" w:lineRule="auto"/>
      </w:pPr>
      <w:r>
        <w:separator/>
      </w:r>
    </w:p>
  </w:endnote>
  <w:endnote w:type="continuationSeparator" w:id="0">
    <w:p w14:paraId="2A2B2A1F" w14:textId="77777777" w:rsidR="00D07387" w:rsidRDefault="00D07387" w:rsidP="002D0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Arial"/>
    <w:charset w:val="00"/>
    <w:family w:val="swiss"/>
    <w:pitch w:val="variable"/>
    <w:sig w:usb0="00000001"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78017" w14:textId="7F46CEC1" w:rsidR="009576BC" w:rsidRDefault="009576BC" w:rsidP="009576BC">
    <w:pPr>
      <w:autoSpaceDE w:val="0"/>
      <w:autoSpaceDN w:val="0"/>
      <w:adjustRightInd w:val="0"/>
      <w:spacing w:after="0" w:line="240" w:lineRule="auto"/>
      <w:jc w:val="center"/>
      <w:rPr>
        <w:rFonts w:ascii="Calibri" w:hAnsi="Calibri" w:cs="Calibri"/>
        <w:color w:val="0D0D0D"/>
        <w:sz w:val="24"/>
        <w:szCs w:val="24"/>
      </w:rPr>
    </w:pPr>
    <w:r>
      <w:rPr>
        <w:rFonts w:ascii="Calibri-Bold" w:hAnsi="Calibri-Bold" w:cs="Calibri-Bold"/>
        <w:b/>
        <w:bCs/>
        <w:color w:val="0D0D0D"/>
        <w:sz w:val="24"/>
        <w:szCs w:val="24"/>
      </w:rPr>
      <w:t xml:space="preserve">Address: </w:t>
    </w:r>
    <w:r w:rsidR="00CA3B38">
      <w:rPr>
        <w:rFonts w:ascii="Calibri" w:hAnsi="Calibri" w:cs="Calibri"/>
        <w:color w:val="0D0D0D"/>
        <w:sz w:val="24"/>
        <w:szCs w:val="24"/>
      </w:rPr>
      <w:t xml:space="preserve">Complete-Careers, </w:t>
    </w:r>
    <w:proofErr w:type="spellStart"/>
    <w:r w:rsidR="00CA3B38">
      <w:rPr>
        <w:rFonts w:ascii="Calibri" w:hAnsi="Calibri" w:cs="Calibri"/>
        <w:color w:val="0D0D0D"/>
        <w:sz w:val="24"/>
        <w:szCs w:val="24"/>
      </w:rPr>
      <w:t>Greetwell</w:t>
    </w:r>
    <w:proofErr w:type="spellEnd"/>
    <w:r w:rsidR="00CA3B38">
      <w:rPr>
        <w:rFonts w:ascii="Calibri" w:hAnsi="Calibri" w:cs="Calibri"/>
        <w:color w:val="0D0D0D"/>
        <w:sz w:val="24"/>
        <w:szCs w:val="24"/>
      </w:rPr>
      <w:t xml:space="preserve"> Place, Lime Kiln Way, Lincoln, LN2 4US</w:t>
    </w:r>
  </w:p>
  <w:p w14:paraId="1689992C" w14:textId="77777777" w:rsidR="009576BC" w:rsidRDefault="009576BC" w:rsidP="009576BC">
    <w:pPr>
      <w:autoSpaceDE w:val="0"/>
      <w:autoSpaceDN w:val="0"/>
      <w:adjustRightInd w:val="0"/>
      <w:spacing w:after="0" w:line="240" w:lineRule="auto"/>
      <w:jc w:val="center"/>
      <w:rPr>
        <w:rFonts w:ascii="Calibri" w:hAnsi="Calibri" w:cs="Calibri"/>
        <w:color w:val="0D0D0D"/>
        <w:sz w:val="24"/>
        <w:szCs w:val="24"/>
      </w:rPr>
    </w:pPr>
  </w:p>
  <w:p w14:paraId="37C5E3E8" w14:textId="2A9602EB" w:rsidR="009576BC" w:rsidRDefault="009576BC" w:rsidP="009576BC">
    <w:pPr>
      <w:pStyle w:val="Footer"/>
      <w:jc w:val="center"/>
    </w:pPr>
    <w:r>
      <w:rPr>
        <w:rFonts w:ascii="Calibri-Bold" w:hAnsi="Calibri-Bold" w:cs="Calibri-Bold"/>
        <w:b/>
        <w:bCs/>
        <w:color w:val="0D0D0D"/>
        <w:sz w:val="24"/>
        <w:szCs w:val="24"/>
      </w:rPr>
      <w:t xml:space="preserve">Email: </w:t>
    </w:r>
    <w:hyperlink r:id="rId1" w:history="1">
      <w:r w:rsidR="00152336" w:rsidRPr="006558A1">
        <w:rPr>
          <w:rStyle w:val="Hyperlink"/>
          <w:rFonts w:ascii="Calibri" w:hAnsi="Calibri" w:cs="Calibri"/>
          <w:sz w:val="24"/>
          <w:szCs w:val="24"/>
        </w:rPr>
        <w:t>contact@careermark.co.uk</w:t>
      </w:r>
    </w:hyperlink>
    <w:r w:rsidR="00152336">
      <w:rPr>
        <w:rFonts w:ascii="Calibri" w:hAnsi="Calibri" w:cs="Calibri"/>
        <w:color w:val="410083"/>
        <w:sz w:val="24"/>
        <w:szCs w:val="24"/>
      </w:rPr>
      <w:t xml:space="preserve"> </w:t>
    </w:r>
    <w:r w:rsidR="00152336">
      <w:rPr>
        <w:rFonts w:ascii="Calibri" w:hAnsi="Calibri" w:cs="Calibri"/>
        <w:color w:val="410083"/>
        <w:sz w:val="24"/>
        <w:szCs w:val="24"/>
      </w:rPr>
      <w:tab/>
    </w:r>
    <w:r>
      <w:rPr>
        <w:rFonts w:ascii="Calibri" w:hAnsi="Calibri" w:cs="Calibri"/>
        <w:color w:val="410083"/>
        <w:sz w:val="24"/>
        <w:szCs w:val="24"/>
      </w:rPr>
      <w:t xml:space="preserve"> </w:t>
    </w:r>
    <w:r w:rsidR="00152336">
      <w:rPr>
        <w:rFonts w:ascii="Calibri" w:hAnsi="Calibri" w:cs="Calibri"/>
        <w:color w:val="410083"/>
        <w:sz w:val="24"/>
        <w:szCs w:val="24"/>
      </w:rPr>
      <w:t xml:space="preserve">        </w:t>
    </w:r>
    <w:r>
      <w:rPr>
        <w:rFonts w:ascii="Calibri-Bold" w:hAnsi="Calibri-Bold" w:cs="Calibri-Bold"/>
        <w:b/>
        <w:bCs/>
        <w:color w:val="0D0D0D"/>
        <w:sz w:val="24"/>
        <w:szCs w:val="24"/>
      </w:rPr>
      <w:t xml:space="preserve">Phone: </w:t>
    </w:r>
    <w:r w:rsidR="00152336">
      <w:rPr>
        <w:rFonts w:ascii="Calibri" w:hAnsi="Calibri" w:cs="Calibri"/>
        <w:color w:val="0D0D0D"/>
        <w:sz w:val="24"/>
        <w:szCs w:val="24"/>
      </w:rPr>
      <w:t xml:space="preserve">01522 </w:t>
    </w:r>
    <w:r w:rsidR="00CA3B38">
      <w:rPr>
        <w:rFonts w:ascii="Calibri" w:hAnsi="Calibri" w:cs="Calibri"/>
        <w:color w:val="0D0D0D"/>
        <w:sz w:val="24"/>
        <w:szCs w:val="24"/>
      </w:rPr>
      <w:t>262922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979E58" w14:textId="77777777" w:rsidR="00D07387" w:rsidRDefault="00D07387" w:rsidP="002D07F8">
      <w:pPr>
        <w:spacing w:after="0" w:line="240" w:lineRule="auto"/>
      </w:pPr>
      <w:r>
        <w:separator/>
      </w:r>
    </w:p>
  </w:footnote>
  <w:footnote w:type="continuationSeparator" w:id="0">
    <w:p w14:paraId="7EDDEDDC" w14:textId="77777777" w:rsidR="00D07387" w:rsidRDefault="00D07387" w:rsidP="002D07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FD978" w14:textId="1BDF384E" w:rsidR="002D07F8" w:rsidRDefault="004D5CAF">
    <w:pPr>
      <w:pStyle w:val="Header"/>
    </w:pPr>
    <w:r>
      <w:rPr>
        <w:noProof/>
        <w:lang w:eastAsia="en-GB"/>
      </w:rPr>
      <w:drawing>
        <wp:anchor distT="0" distB="0" distL="114300" distR="114300" simplePos="0" relativeHeight="251657216" behindDoc="1" locked="0" layoutInCell="1" allowOverlap="1" wp14:anchorId="1B41138D" wp14:editId="77188A8D">
          <wp:simplePos x="0" y="0"/>
          <wp:positionH relativeFrom="margin">
            <wp:posOffset>1322705</wp:posOffset>
          </wp:positionH>
          <wp:positionV relativeFrom="paragraph">
            <wp:posOffset>6985</wp:posOffset>
          </wp:positionV>
          <wp:extent cx="1219200" cy="383540"/>
          <wp:effectExtent l="0" t="0" r="0" b="0"/>
          <wp:wrapTight wrapText="bothSides">
            <wp:wrapPolygon edited="0">
              <wp:start x="0" y="0"/>
              <wp:lineTo x="0" y="20384"/>
              <wp:lineTo x="21263" y="20384"/>
              <wp:lineTo x="2126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 for Twitter.jpg"/>
                  <pic:cNvPicPr/>
                </pic:nvPicPr>
                <pic:blipFill>
                  <a:blip r:embed="rId1">
                    <a:extLst>
                      <a:ext uri="{28A0092B-C50C-407E-A947-70E740481C1C}">
                        <a14:useLocalDpi xmlns:a14="http://schemas.microsoft.com/office/drawing/2010/main" val="0"/>
                      </a:ext>
                    </a:extLst>
                  </a:blip>
                  <a:stretch>
                    <a:fillRect/>
                  </a:stretch>
                </pic:blipFill>
                <pic:spPr>
                  <a:xfrm>
                    <a:off x="0" y="0"/>
                    <a:ext cx="1219200" cy="383540"/>
                  </a:xfrm>
                  <a:prstGeom prst="rect">
                    <a:avLst/>
                  </a:prstGeom>
                </pic:spPr>
              </pic:pic>
            </a:graphicData>
          </a:graphic>
        </wp:anchor>
      </w:drawing>
    </w:r>
    <w:r>
      <w:rPr>
        <w:i/>
        <w:noProof/>
        <w:lang w:eastAsia="en-GB"/>
      </w:rPr>
      <w:drawing>
        <wp:anchor distT="0" distB="0" distL="114300" distR="114300" simplePos="0" relativeHeight="251659264" behindDoc="1" locked="0" layoutInCell="1" allowOverlap="1" wp14:anchorId="58F76FF1" wp14:editId="107F8E16">
          <wp:simplePos x="0" y="0"/>
          <wp:positionH relativeFrom="column">
            <wp:posOffset>3629025</wp:posOffset>
          </wp:positionH>
          <wp:positionV relativeFrom="paragraph">
            <wp:posOffset>5080</wp:posOffset>
          </wp:positionV>
          <wp:extent cx="1704975" cy="363855"/>
          <wp:effectExtent l="0" t="0" r="9525" b="0"/>
          <wp:wrapTight wrapText="bothSides">
            <wp:wrapPolygon edited="0">
              <wp:start x="0" y="0"/>
              <wp:lineTo x="0" y="20356"/>
              <wp:lineTo x="21479" y="20356"/>
              <wp:lineTo x="21479"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Quality in Careers Standard Logo.jpg"/>
                  <pic:cNvPicPr/>
                </pic:nvPicPr>
                <pic:blipFill>
                  <a:blip r:embed="rId2">
                    <a:extLst>
                      <a:ext uri="{28A0092B-C50C-407E-A947-70E740481C1C}">
                        <a14:useLocalDpi xmlns:a14="http://schemas.microsoft.com/office/drawing/2010/main" val="0"/>
                      </a:ext>
                    </a:extLst>
                  </a:blip>
                  <a:stretch>
                    <a:fillRect/>
                  </a:stretch>
                </pic:blipFill>
                <pic:spPr>
                  <a:xfrm>
                    <a:off x="0" y="0"/>
                    <a:ext cx="1704975" cy="363855"/>
                  </a:xfrm>
                  <a:prstGeom prst="rect">
                    <a:avLst/>
                  </a:prstGeom>
                </pic:spPr>
              </pic:pic>
            </a:graphicData>
          </a:graphic>
        </wp:anchor>
      </w:drawing>
    </w:r>
    <w:r>
      <w:rPr>
        <w:noProof/>
        <w:lang w:eastAsia="en-GB"/>
      </w:rPr>
      <w:drawing>
        <wp:anchor distT="0" distB="0" distL="114300" distR="114300" simplePos="0" relativeHeight="251664384" behindDoc="1" locked="0" layoutInCell="1" allowOverlap="1" wp14:anchorId="239C5F16" wp14:editId="4F0E8A95">
          <wp:simplePos x="0" y="0"/>
          <wp:positionH relativeFrom="column">
            <wp:posOffset>6315075</wp:posOffset>
          </wp:positionH>
          <wp:positionV relativeFrom="page">
            <wp:posOffset>257175</wp:posOffset>
          </wp:positionV>
          <wp:extent cx="478790" cy="628650"/>
          <wp:effectExtent l="0" t="0" r="0" b="0"/>
          <wp:wrapTight wrapText="bothSides">
            <wp:wrapPolygon edited="0">
              <wp:start x="0" y="0"/>
              <wp:lineTo x="0" y="20945"/>
              <wp:lineTo x="20626" y="20945"/>
              <wp:lineTo x="20626" y="0"/>
              <wp:lineTo x="0" y="0"/>
            </wp:wrapPolygon>
          </wp:wrapTight>
          <wp:docPr id="2" name="Picture 2" descr="schoo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choollogo"/>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478790" cy="628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555C5">
      <w:rPr>
        <w:i/>
        <w:noProof/>
        <w:lang w:eastAsia="en-GB"/>
      </w:rPr>
      <w:drawing>
        <wp:anchor distT="0" distB="0" distL="114300" distR="114300" simplePos="0" relativeHeight="251663360" behindDoc="1" locked="0" layoutInCell="1" allowOverlap="1" wp14:anchorId="255F373C" wp14:editId="53A947AC">
          <wp:simplePos x="0" y="0"/>
          <wp:positionH relativeFrom="column">
            <wp:posOffset>-200025</wp:posOffset>
          </wp:positionH>
          <wp:positionV relativeFrom="paragraph">
            <wp:posOffset>-147320</wp:posOffset>
          </wp:positionV>
          <wp:extent cx="771525" cy="795544"/>
          <wp:effectExtent l="0" t="0" r="0" b="5080"/>
          <wp:wrapTight wrapText="bothSides">
            <wp:wrapPolygon edited="0">
              <wp:start x="0" y="0"/>
              <wp:lineTo x="0" y="21220"/>
              <wp:lineTo x="20800" y="21220"/>
              <wp:lineTo x="20800"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areer-Mark-Logo.jpg"/>
                  <pic:cNvPicPr/>
                </pic:nvPicPr>
                <pic:blipFill>
                  <a:blip r:embed="rId5">
                    <a:extLst>
                      <a:ext uri="{28A0092B-C50C-407E-A947-70E740481C1C}">
                        <a14:useLocalDpi xmlns:a14="http://schemas.microsoft.com/office/drawing/2010/main" val="0"/>
                      </a:ext>
                    </a:extLst>
                  </a:blip>
                  <a:stretch>
                    <a:fillRect/>
                  </a:stretch>
                </pic:blipFill>
                <pic:spPr>
                  <a:xfrm>
                    <a:off x="0" y="0"/>
                    <a:ext cx="771525" cy="795544"/>
                  </a:xfrm>
                  <a:prstGeom prst="rect">
                    <a:avLst/>
                  </a:prstGeom>
                </pic:spPr>
              </pic:pic>
            </a:graphicData>
          </a:graphic>
        </wp:anchor>
      </w:drawing>
    </w:r>
  </w:p>
  <w:p w14:paraId="7F96A4BC" w14:textId="478CBDDE" w:rsidR="00DF7488" w:rsidRDefault="00DF7488" w:rsidP="009576BC">
    <w:pPr>
      <w:pStyle w:val="Header"/>
      <w:tabs>
        <w:tab w:val="left" w:pos="1400"/>
      </w:tabs>
      <w:jc w:val="center"/>
      <w:rPr>
        <w:i/>
        <w:lang w:val="en-US"/>
      </w:rPr>
    </w:pPr>
  </w:p>
  <w:p w14:paraId="513ABFD3" w14:textId="77777777" w:rsidR="00DF7488" w:rsidRDefault="00DF7488" w:rsidP="009576BC">
    <w:pPr>
      <w:pStyle w:val="Header"/>
      <w:tabs>
        <w:tab w:val="left" w:pos="1400"/>
      </w:tabs>
      <w:jc w:val="center"/>
      <w:rPr>
        <w:i/>
        <w:lang w:val="en-US"/>
      </w:rPr>
    </w:pPr>
  </w:p>
  <w:p w14:paraId="55DDE17C" w14:textId="77777777" w:rsidR="00DC6950" w:rsidRDefault="002D07F8" w:rsidP="009576BC">
    <w:pPr>
      <w:pStyle w:val="Header"/>
      <w:tabs>
        <w:tab w:val="left" w:pos="1400"/>
      </w:tabs>
      <w:jc w:val="center"/>
      <w:rPr>
        <w:i/>
        <w:lang w:val="en-US"/>
      </w:rPr>
    </w:pPr>
    <w:r w:rsidRPr="002D07F8">
      <w:rPr>
        <w:i/>
        <w:lang w:val="en-US"/>
      </w:rPr>
      <w:t>Empowering People to Make Successful Transitions</w:t>
    </w:r>
    <w:r>
      <w:rPr>
        <w:i/>
        <w:lang w:val="en-US"/>
      </w:rPr>
      <w:t xml:space="preserve">  </w:t>
    </w:r>
  </w:p>
  <w:p w14:paraId="3C20381A" w14:textId="77777777" w:rsidR="002D07F8" w:rsidRPr="002D07F8" w:rsidRDefault="00F21BF6" w:rsidP="009576BC">
    <w:pPr>
      <w:pStyle w:val="Header"/>
      <w:tabs>
        <w:tab w:val="left" w:pos="1400"/>
      </w:tabs>
      <w:jc w:val="center"/>
      <w:rPr>
        <w:i/>
        <w:lang w:val="en-US"/>
      </w:rPr>
    </w:pPr>
    <w:hyperlink r:id="rId6" w:history="1">
      <w:r w:rsidR="002D07F8" w:rsidRPr="002D07F8">
        <w:rPr>
          <w:rStyle w:val="Hyperlink"/>
          <w:i/>
          <w:lang w:val="en-US"/>
        </w:rPr>
        <w:t>www.complete-careers.com</w:t>
      </w:r>
    </w:hyperlink>
    <w:r w:rsidR="00152336" w:rsidRPr="009C22DE">
      <w:rPr>
        <w:rStyle w:val="Hyperlink"/>
        <w:i/>
        <w:color w:val="auto"/>
        <w:lang w:val="en-US"/>
      </w:rPr>
      <w:t xml:space="preserve"> or </w:t>
    </w:r>
    <w:hyperlink r:id="rId7" w:history="1">
      <w:r w:rsidR="00152336" w:rsidRPr="006558A1">
        <w:rPr>
          <w:rStyle w:val="Hyperlink"/>
          <w:lang w:val="en-US"/>
        </w:rPr>
        <w:t>www.careermark.co.uk</w:t>
      </w:r>
    </w:hyperlink>
    <w:r w:rsidR="00152336">
      <w:rPr>
        <w:rStyle w:val="Hyperlink"/>
        <w:i/>
        <w:lang w:val="en-US"/>
      </w:rPr>
      <w:t xml:space="preserve"> </w:t>
    </w:r>
  </w:p>
  <w:p w14:paraId="3B15000F" w14:textId="77777777" w:rsidR="002D07F8" w:rsidRDefault="002D07F8" w:rsidP="002D07F8">
    <w:pPr>
      <w:pStyle w:val="Header"/>
      <w:tabs>
        <w:tab w:val="clear" w:pos="4513"/>
        <w:tab w:val="clear" w:pos="9026"/>
        <w:tab w:val="left" w:pos="14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27F9C"/>
    <w:multiLevelType w:val="hybridMultilevel"/>
    <w:tmpl w:val="A59285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CB4890"/>
    <w:multiLevelType w:val="hybridMultilevel"/>
    <w:tmpl w:val="EA86B66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87549A"/>
    <w:multiLevelType w:val="hybridMultilevel"/>
    <w:tmpl w:val="64FA39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D7728F"/>
    <w:multiLevelType w:val="hybridMultilevel"/>
    <w:tmpl w:val="46D4A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CD7736"/>
    <w:multiLevelType w:val="hybridMultilevel"/>
    <w:tmpl w:val="309C1A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51753628"/>
    <w:multiLevelType w:val="hybridMultilevel"/>
    <w:tmpl w:val="D4CAD7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26A76FB"/>
    <w:multiLevelType w:val="hybridMultilevel"/>
    <w:tmpl w:val="BAEA35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3EC4131"/>
    <w:multiLevelType w:val="hybridMultilevel"/>
    <w:tmpl w:val="695EAA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7D01F6D"/>
    <w:multiLevelType w:val="hybridMultilevel"/>
    <w:tmpl w:val="D4FC6A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BF0196A"/>
    <w:multiLevelType w:val="hybridMultilevel"/>
    <w:tmpl w:val="702493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FD6426"/>
    <w:multiLevelType w:val="hybridMultilevel"/>
    <w:tmpl w:val="A3348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5E5151B"/>
    <w:multiLevelType w:val="hybridMultilevel"/>
    <w:tmpl w:val="C9B228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8"/>
  </w:num>
  <w:num w:numId="4">
    <w:abstractNumId w:val="1"/>
  </w:num>
  <w:num w:numId="5">
    <w:abstractNumId w:val="7"/>
  </w:num>
  <w:num w:numId="6">
    <w:abstractNumId w:val="2"/>
  </w:num>
  <w:num w:numId="7">
    <w:abstractNumId w:val="10"/>
  </w:num>
  <w:num w:numId="8">
    <w:abstractNumId w:val="11"/>
  </w:num>
  <w:num w:numId="9">
    <w:abstractNumId w:val="5"/>
  </w:num>
  <w:num w:numId="10">
    <w:abstractNumId w:val="0"/>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UBQlMDS1NjYwsLSyUdpeDU4uLM/DyQAqNaAKwH7UosAAAA"/>
  </w:docVars>
  <w:rsids>
    <w:rsidRoot w:val="002D07F8"/>
    <w:rsid w:val="00005D4E"/>
    <w:rsid w:val="0000636D"/>
    <w:rsid w:val="00057D39"/>
    <w:rsid w:val="000622CA"/>
    <w:rsid w:val="00136C49"/>
    <w:rsid w:val="00152336"/>
    <w:rsid w:val="00167BD9"/>
    <w:rsid w:val="001A27E9"/>
    <w:rsid w:val="001A77A8"/>
    <w:rsid w:val="001F7CC2"/>
    <w:rsid w:val="00293CBA"/>
    <w:rsid w:val="002D07F8"/>
    <w:rsid w:val="00325C14"/>
    <w:rsid w:val="00341D08"/>
    <w:rsid w:val="00342A8F"/>
    <w:rsid w:val="003837B1"/>
    <w:rsid w:val="003E013F"/>
    <w:rsid w:val="00417271"/>
    <w:rsid w:val="00424C72"/>
    <w:rsid w:val="00432645"/>
    <w:rsid w:val="004850AA"/>
    <w:rsid w:val="004855C8"/>
    <w:rsid w:val="00497AB1"/>
    <w:rsid w:val="004D5CAF"/>
    <w:rsid w:val="00523845"/>
    <w:rsid w:val="00531D02"/>
    <w:rsid w:val="006224DA"/>
    <w:rsid w:val="006715FB"/>
    <w:rsid w:val="006C119F"/>
    <w:rsid w:val="006D2913"/>
    <w:rsid w:val="006D51EE"/>
    <w:rsid w:val="006E0296"/>
    <w:rsid w:val="00703162"/>
    <w:rsid w:val="007072E7"/>
    <w:rsid w:val="00707E68"/>
    <w:rsid w:val="0072365F"/>
    <w:rsid w:val="00727D53"/>
    <w:rsid w:val="007D096D"/>
    <w:rsid w:val="00831069"/>
    <w:rsid w:val="008467E9"/>
    <w:rsid w:val="00850EBD"/>
    <w:rsid w:val="00891944"/>
    <w:rsid w:val="008933D8"/>
    <w:rsid w:val="00894829"/>
    <w:rsid w:val="008A5214"/>
    <w:rsid w:val="008C10F9"/>
    <w:rsid w:val="008D43A4"/>
    <w:rsid w:val="008D4B63"/>
    <w:rsid w:val="00941003"/>
    <w:rsid w:val="009555C5"/>
    <w:rsid w:val="009576BC"/>
    <w:rsid w:val="00976819"/>
    <w:rsid w:val="00995D2B"/>
    <w:rsid w:val="009B4CDE"/>
    <w:rsid w:val="009C22DE"/>
    <w:rsid w:val="009C2577"/>
    <w:rsid w:val="00A0609D"/>
    <w:rsid w:val="00A45011"/>
    <w:rsid w:val="00A52F19"/>
    <w:rsid w:val="00A60B3E"/>
    <w:rsid w:val="00AB73B6"/>
    <w:rsid w:val="00AC5697"/>
    <w:rsid w:val="00AD1613"/>
    <w:rsid w:val="00B046B6"/>
    <w:rsid w:val="00B36516"/>
    <w:rsid w:val="00BD0778"/>
    <w:rsid w:val="00C430FD"/>
    <w:rsid w:val="00C73F4E"/>
    <w:rsid w:val="00C93C38"/>
    <w:rsid w:val="00CA3B38"/>
    <w:rsid w:val="00CC0EC5"/>
    <w:rsid w:val="00CD6700"/>
    <w:rsid w:val="00D05DB4"/>
    <w:rsid w:val="00D07387"/>
    <w:rsid w:val="00D278BE"/>
    <w:rsid w:val="00DC6950"/>
    <w:rsid w:val="00DF7488"/>
    <w:rsid w:val="00E134FC"/>
    <w:rsid w:val="00E208DF"/>
    <w:rsid w:val="00E7315F"/>
    <w:rsid w:val="00E7778A"/>
    <w:rsid w:val="00E8271D"/>
    <w:rsid w:val="00EA5C0E"/>
    <w:rsid w:val="00EB11A1"/>
    <w:rsid w:val="00F37E1C"/>
    <w:rsid w:val="00F919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265B8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8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07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07F8"/>
    <w:rPr>
      <w:rFonts w:ascii="Tahoma" w:hAnsi="Tahoma" w:cs="Tahoma"/>
      <w:sz w:val="16"/>
      <w:szCs w:val="16"/>
    </w:rPr>
  </w:style>
  <w:style w:type="paragraph" w:styleId="Header">
    <w:name w:val="header"/>
    <w:basedOn w:val="Normal"/>
    <w:link w:val="HeaderChar"/>
    <w:uiPriority w:val="99"/>
    <w:unhideWhenUsed/>
    <w:rsid w:val="002D07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07F8"/>
  </w:style>
  <w:style w:type="paragraph" w:styleId="Footer">
    <w:name w:val="footer"/>
    <w:basedOn w:val="Normal"/>
    <w:link w:val="FooterChar"/>
    <w:uiPriority w:val="99"/>
    <w:unhideWhenUsed/>
    <w:rsid w:val="002D07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07F8"/>
  </w:style>
  <w:style w:type="character" w:styleId="Hyperlink">
    <w:name w:val="Hyperlink"/>
    <w:basedOn w:val="DefaultParagraphFont"/>
    <w:uiPriority w:val="99"/>
    <w:unhideWhenUsed/>
    <w:rsid w:val="002D07F8"/>
    <w:rPr>
      <w:color w:val="0000FF" w:themeColor="hyperlink"/>
      <w:u w:val="single"/>
    </w:rPr>
  </w:style>
  <w:style w:type="paragraph" w:styleId="ListParagraph">
    <w:name w:val="List Paragraph"/>
    <w:basedOn w:val="Normal"/>
    <w:uiPriority w:val="34"/>
    <w:qFormat/>
    <w:rsid w:val="00A52F19"/>
    <w:pPr>
      <w:ind w:left="720"/>
      <w:contextualSpacing/>
    </w:pPr>
  </w:style>
  <w:style w:type="character" w:customStyle="1" w:styleId="Mention1">
    <w:name w:val="Mention1"/>
    <w:basedOn w:val="DefaultParagraphFont"/>
    <w:uiPriority w:val="99"/>
    <w:semiHidden/>
    <w:unhideWhenUsed/>
    <w:rsid w:val="00152336"/>
    <w:rPr>
      <w:color w:val="2B579A"/>
      <w:shd w:val="clear" w:color="auto" w:fill="E6E6E6"/>
    </w:rPr>
  </w:style>
  <w:style w:type="character" w:styleId="Emphasis">
    <w:name w:val="Emphasis"/>
    <w:basedOn w:val="DefaultParagraphFont"/>
    <w:uiPriority w:val="20"/>
    <w:qFormat/>
    <w:rsid w:val="006E02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005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contact@careermark.co.u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7" Type="http://schemas.openxmlformats.org/officeDocument/2006/relationships/hyperlink" Target="http://www.careermark.co.uk" TargetMode="External"/><Relationship Id="rId2" Type="http://schemas.openxmlformats.org/officeDocument/2006/relationships/image" Target="media/image3.jpeg"/><Relationship Id="rId1" Type="http://schemas.openxmlformats.org/officeDocument/2006/relationships/image" Target="media/image2.jpeg"/><Relationship Id="rId6" Type="http://schemas.openxmlformats.org/officeDocument/2006/relationships/hyperlink" Target="http://www.complete-careers.com" TargetMode="External"/><Relationship Id="rId5" Type="http://schemas.openxmlformats.org/officeDocument/2006/relationships/image" Target="media/image5.jpeg"/><Relationship Id="rId4" Type="http://schemas.openxmlformats.org/officeDocument/2006/relationships/image" Target="cid:image001.png@01D51A0F.4841EF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0515F87C779F4889A97EE91D8AF075" ma:contentTypeVersion="9" ma:contentTypeDescription="Create a new document." ma:contentTypeScope="" ma:versionID="47371b02e6e14d45682bf4908b9ef3a5">
  <xsd:schema xmlns:xsd="http://www.w3.org/2001/XMLSchema" xmlns:xs="http://www.w3.org/2001/XMLSchema" xmlns:p="http://schemas.microsoft.com/office/2006/metadata/properties" xmlns:ns2="f59c72a3-c632-42af-8cf3-3d6174367149" xmlns:ns3="95aa16c9-118a-4829-b85a-7ff2dc7067c9" targetNamespace="http://schemas.microsoft.com/office/2006/metadata/properties" ma:root="true" ma:fieldsID="60db387946c908eb7fb132578e472377" ns2:_="" ns3:_="">
    <xsd:import namespace="f59c72a3-c632-42af-8cf3-3d6174367149"/>
    <xsd:import namespace="95aa16c9-118a-4829-b85a-7ff2dc7067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Contacted_x0020_"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9c72a3-c632-42af-8cf3-3d61743671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Contacted_x0020_" ma:index="15" nillable="true" ma:displayName="Contacted " ma:default="1" ma:description="email send about award" ma:format="Dropdown" ma:internalName="Contacted_x0020_">
      <xsd:simpleType>
        <xsd:restriction base="dms:Boolean"/>
      </xsd:simpleType>
    </xsd:element>
    <xsd:element name="MediaServiceLocation" ma:index="16"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aa16c9-118a-4829-b85a-7ff2dc7067c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ntacted_x0020_ xmlns="f59c72a3-c632-42af-8cf3-3d6174367149">true</Contacted_x0020_>
  </documentManagement>
</p:properties>
</file>

<file path=customXml/itemProps1.xml><?xml version="1.0" encoding="utf-8"?>
<ds:datastoreItem xmlns:ds="http://schemas.openxmlformats.org/officeDocument/2006/customXml" ds:itemID="{02707D79-386E-482E-8A0E-E5273EB93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9c72a3-c632-42af-8cf3-3d6174367149"/>
    <ds:schemaRef ds:uri="95aa16c9-118a-4829-b85a-7ff2dc7067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4A39A8-59AA-4D36-B0B5-3BD89B554116}">
  <ds:schemaRefs>
    <ds:schemaRef ds:uri="http://schemas.microsoft.com/sharepoint/v3/contenttype/forms"/>
  </ds:schemaRefs>
</ds:datastoreItem>
</file>

<file path=customXml/itemProps3.xml><?xml version="1.0" encoding="utf-8"?>
<ds:datastoreItem xmlns:ds="http://schemas.openxmlformats.org/officeDocument/2006/customXml" ds:itemID="{1A434179-5FA7-4632-902C-7D73FC4A187A}">
  <ds:schemaRefs>
    <ds:schemaRef ds:uri="95aa16c9-118a-4829-b85a-7ff2dc7067c9"/>
    <ds:schemaRef ds:uri="http://schemas.openxmlformats.org/package/2006/metadata/core-properties"/>
    <ds:schemaRef ds:uri="http://purl.org/dc/terms/"/>
    <ds:schemaRef ds:uri="f59c72a3-c632-42af-8cf3-3d6174367149"/>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1094</Words>
  <Characters>6236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Hotdesk User</dc:creator>
  <cp:lastModifiedBy>John Ambrose</cp:lastModifiedBy>
  <cp:revision>2</cp:revision>
  <cp:lastPrinted>2018-10-08T08:56:00Z</cp:lastPrinted>
  <dcterms:created xsi:type="dcterms:W3CDTF">2019-06-11T17:49:00Z</dcterms:created>
  <dcterms:modified xsi:type="dcterms:W3CDTF">2019-06-11T17:49:00Z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0x010100DD0515F87C779F4889A97EE91D8AF075</vt:lpwstr>
  </property>
  <property fmtid="{D5CDD505-2E9C-101B-9397-08002B2CF9AE}" pid="3" name="AuthorIds_UIVersion_1024">
    <vt:lpwstr>13</vt:lpwstr>
  </property>
</Properties>
</file>